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2" w:rsidRDefault="00781DF2" w:rsidP="000D108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 внедрении системы персонифицированного дополнительного</w:t>
      </w:r>
      <w:r w:rsidR="000D1082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детей</w:t>
      </w:r>
    </w:p>
    <w:p w:rsidR="00781DF2" w:rsidRPr="00781DF2" w:rsidRDefault="00781DF2" w:rsidP="00781DF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Саратовская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</w:t>
      </w:r>
      <w:r w:rsidR="00781DF2">
        <w:rPr>
          <w:color w:val="000000"/>
          <w:sz w:val="28"/>
          <w:szCs w:val="28"/>
        </w:rPr>
        <w:t>цированное финансирование в 2020</w:t>
      </w:r>
      <w:r w:rsidRPr="009D2CAA">
        <w:rPr>
          <w:color w:val="000000"/>
          <w:sz w:val="28"/>
          <w:szCs w:val="28"/>
        </w:rPr>
        <w:t xml:space="preserve"> году в Новобурасском муниципальном районе у детей появятся сертификаты дополнительного образования.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</w:t>
      </w:r>
      <w:r w:rsidR="00781DF2">
        <w:rPr>
          <w:color w:val="000000"/>
          <w:sz w:val="28"/>
          <w:szCs w:val="28"/>
        </w:rPr>
        <w:t>. С</w:t>
      </w:r>
      <w:r w:rsidRPr="009D2CAA">
        <w:rPr>
          <w:color w:val="000000"/>
          <w:sz w:val="28"/>
          <w:szCs w:val="28"/>
        </w:rPr>
        <w:t>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</w:t>
      </w:r>
      <w:r w:rsidR="00781DF2">
        <w:rPr>
          <w:color w:val="000000"/>
          <w:sz w:val="28"/>
          <w:szCs w:val="28"/>
        </w:rPr>
        <w:t>разрабатываются</w:t>
      </w:r>
      <w:r w:rsidRPr="009D2CAA">
        <w:rPr>
          <w:color w:val="000000"/>
          <w:sz w:val="28"/>
          <w:szCs w:val="28"/>
        </w:rPr>
        <w:t xml:space="preserve">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Ядром системы персонифицированного дополнительного образования в Саратовской области является региональный модельный центр</w:t>
      </w:r>
      <w:r w:rsidR="00781DF2">
        <w:rPr>
          <w:color w:val="000000"/>
          <w:sz w:val="28"/>
          <w:szCs w:val="28"/>
        </w:rPr>
        <w:t xml:space="preserve"> государственное автономное учреждение дополнительного профессионального образования «Саратовский областной институт развития образования»</w:t>
      </w:r>
      <w:r w:rsidRPr="009D2CAA">
        <w:rPr>
          <w:color w:val="000000"/>
          <w:sz w:val="28"/>
          <w:szCs w:val="28"/>
        </w:rPr>
        <w:t>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B1398D" w:rsidRPr="009D2CAA" w:rsidRDefault="00781DF2" w:rsidP="00781D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С</w:t>
      </w:r>
      <w:r w:rsidR="00B1398D" w:rsidRPr="009D2CAA">
        <w:rPr>
          <w:color w:val="000000"/>
          <w:sz w:val="28"/>
          <w:szCs w:val="28"/>
        </w:rPr>
        <w:t>ертификаты</w:t>
      </w:r>
      <w:r>
        <w:rPr>
          <w:color w:val="000000"/>
          <w:sz w:val="28"/>
          <w:szCs w:val="28"/>
        </w:rPr>
        <w:t xml:space="preserve"> дополнительного образования</w:t>
      </w:r>
      <w:r w:rsidR="00B1398D" w:rsidRPr="009D2CAA">
        <w:rPr>
          <w:color w:val="000000"/>
          <w:sz w:val="28"/>
          <w:szCs w:val="28"/>
        </w:rPr>
        <w:t xml:space="preserve">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B1398D" w:rsidRPr="009D2CAA" w:rsidRDefault="00B1398D" w:rsidP="00B139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CAA">
        <w:rPr>
          <w:color w:val="000000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уже ведется.</w:t>
      </w:r>
    </w:p>
    <w:p w:rsidR="00B1398D" w:rsidRPr="004751F6" w:rsidRDefault="00B1398D" w:rsidP="00B13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24" w:rsidRPr="00B1398D" w:rsidRDefault="00874DB5">
      <w:pPr>
        <w:rPr>
          <w:rFonts w:ascii="Times New Roman" w:hAnsi="Times New Roman" w:cs="Times New Roman"/>
          <w:sz w:val="28"/>
          <w:szCs w:val="28"/>
        </w:rPr>
      </w:pPr>
    </w:p>
    <w:sectPr w:rsidR="005B7E24" w:rsidRPr="00B1398D" w:rsidSect="00B13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D"/>
    <w:rsid w:val="000D1082"/>
    <w:rsid w:val="00154B47"/>
    <w:rsid w:val="00526FF2"/>
    <w:rsid w:val="00532192"/>
    <w:rsid w:val="006C2FA3"/>
    <w:rsid w:val="00781DF2"/>
    <w:rsid w:val="00874DB5"/>
    <w:rsid w:val="009D2CAA"/>
    <w:rsid w:val="00B1398D"/>
    <w:rsid w:val="00F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2019-04-17T06:00:00Z</cp:lastPrinted>
  <dcterms:created xsi:type="dcterms:W3CDTF">2019-04-18T07:04:00Z</dcterms:created>
  <dcterms:modified xsi:type="dcterms:W3CDTF">2019-04-18T07:04:00Z</dcterms:modified>
</cp:coreProperties>
</file>